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41AC" w14:textId="5B4DD9FB" w:rsidR="0090109A" w:rsidRDefault="00E5116A" w:rsidP="00E511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Investment Committee </w:t>
      </w:r>
      <w:r w:rsidR="00447FDA">
        <w:rPr>
          <w:sz w:val="32"/>
          <w:szCs w:val="32"/>
        </w:rPr>
        <w:t>Structure</w:t>
      </w:r>
    </w:p>
    <w:p w14:paraId="14F45EFE" w14:textId="0F69548B" w:rsidR="00CF4DE4" w:rsidRDefault="00CF4DE4" w:rsidP="00E511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Roles and Responsibilities</w:t>
      </w:r>
    </w:p>
    <w:p w14:paraId="3A297B6F" w14:textId="78C1D834" w:rsidR="00E5116A" w:rsidRDefault="00E5116A" w:rsidP="00E5116A">
      <w:pPr>
        <w:rPr>
          <w:sz w:val="28"/>
          <w:szCs w:val="28"/>
        </w:rPr>
      </w:pPr>
      <w:r>
        <w:rPr>
          <w:sz w:val="28"/>
          <w:szCs w:val="28"/>
        </w:rPr>
        <w:t xml:space="preserve">The Foundation </w:t>
      </w:r>
      <w:r w:rsidR="00A93468">
        <w:rPr>
          <w:sz w:val="28"/>
          <w:szCs w:val="28"/>
        </w:rPr>
        <w:t xml:space="preserve">uses both a finance committee and an investment committee to </w:t>
      </w:r>
      <w:r>
        <w:rPr>
          <w:sz w:val="28"/>
          <w:szCs w:val="28"/>
        </w:rPr>
        <w:t xml:space="preserve">manage </w:t>
      </w:r>
      <w:r w:rsidR="00681978">
        <w:rPr>
          <w:sz w:val="28"/>
          <w:szCs w:val="28"/>
        </w:rPr>
        <w:t>its assets</w:t>
      </w:r>
      <w:r>
        <w:rPr>
          <w:sz w:val="28"/>
          <w:szCs w:val="28"/>
        </w:rPr>
        <w:t xml:space="preserve">. </w:t>
      </w:r>
    </w:p>
    <w:p w14:paraId="3D0B8F84" w14:textId="7A5ED7BC" w:rsidR="00CF4DE4" w:rsidRDefault="00CF4DE4" w:rsidP="00E5116A">
      <w:pPr>
        <w:rPr>
          <w:sz w:val="28"/>
          <w:szCs w:val="28"/>
        </w:rPr>
      </w:pPr>
      <w:r>
        <w:rPr>
          <w:sz w:val="28"/>
          <w:szCs w:val="28"/>
        </w:rPr>
        <w:t xml:space="preserve">The Foundation </w:t>
      </w:r>
      <w:r w:rsidR="00BF400E">
        <w:rPr>
          <w:sz w:val="28"/>
          <w:szCs w:val="28"/>
        </w:rPr>
        <w:t>also employs a consultant/fund manager to assist in making asset allocation decisions as well as selecting the index funds that represent the desired asset allocation.</w:t>
      </w:r>
    </w:p>
    <w:p w14:paraId="65BF8E59" w14:textId="17674FE8" w:rsidR="00BF400E" w:rsidRDefault="007E7628" w:rsidP="00E5116A">
      <w:pPr>
        <w:rPr>
          <w:sz w:val="28"/>
          <w:szCs w:val="28"/>
        </w:rPr>
      </w:pPr>
      <w:r>
        <w:rPr>
          <w:sz w:val="28"/>
          <w:szCs w:val="28"/>
        </w:rPr>
        <w:t>The Foundation</w:t>
      </w:r>
      <w:r w:rsidR="00BF400E">
        <w:rPr>
          <w:sz w:val="28"/>
          <w:szCs w:val="28"/>
        </w:rPr>
        <w:t xml:space="preserve"> also has outside advisors with varying experience in asset management to assist in making decisions.</w:t>
      </w:r>
    </w:p>
    <w:p w14:paraId="28513F91" w14:textId="5B97DE25" w:rsidR="00676E6D" w:rsidRDefault="00CF4DE4" w:rsidP="00E5116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76E6D">
        <w:rPr>
          <w:sz w:val="28"/>
          <w:szCs w:val="28"/>
        </w:rPr>
        <w:t>fina</w:t>
      </w:r>
      <w:r w:rsidR="00C72588">
        <w:rPr>
          <w:sz w:val="28"/>
          <w:szCs w:val="28"/>
        </w:rPr>
        <w:t>nc</w:t>
      </w:r>
      <w:r w:rsidR="00676E6D">
        <w:rPr>
          <w:sz w:val="28"/>
          <w:szCs w:val="28"/>
        </w:rPr>
        <w:t xml:space="preserve">e </w:t>
      </w:r>
      <w:r w:rsidR="00C72588">
        <w:rPr>
          <w:sz w:val="28"/>
          <w:szCs w:val="28"/>
        </w:rPr>
        <w:t xml:space="preserve">committee </w:t>
      </w:r>
      <w:r>
        <w:rPr>
          <w:sz w:val="28"/>
          <w:szCs w:val="28"/>
        </w:rPr>
        <w:t xml:space="preserve">addresses </w:t>
      </w:r>
      <w:r w:rsidR="00C72588">
        <w:rPr>
          <w:sz w:val="28"/>
          <w:szCs w:val="28"/>
        </w:rPr>
        <w:t xml:space="preserve">operational and budgetary matters while </w:t>
      </w:r>
      <w:r>
        <w:rPr>
          <w:sz w:val="28"/>
          <w:szCs w:val="28"/>
        </w:rPr>
        <w:t>the</w:t>
      </w:r>
      <w:r w:rsidR="00C72588">
        <w:rPr>
          <w:sz w:val="28"/>
          <w:szCs w:val="28"/>
        </w:rPr>
        <w:t xml:space="preserve"> investment committee oversees </w:t>
      </w:r>
      <w:r w:rsidR="002F4604">
        <w:rPr>
          <w:sz w:val="28"/>
          <w:szCs w:val="28"/>
        </w:rPr>
        <w:t xml:space="preserve">investment policy and </w:t>
      </w:r>
      <w:r>
        <w:rPr>
          <w:sz w:val="28"/>
          <w:szCs w:val="28"/>
        </w:rPr>
        <w:t xml:space="preserve">fund investments. </w:t>
      </w:r>
      <w:r w:rsidR="00C72588">
        <w:rPr>
          <w:sz w:val="28"/>
          <w:szCs w:val="28"/>
        </w:rPr>
        <w:t xml:space="preserve">  </w:t>
      </w:r>
    </w:p>
    <w:p w14:paraId="1E39D8D7" w14:textId="77777777" w:rsidR="00CF4DE4" w:rsidRDefault="002C53CD" w:rsidP="00E5116A">
      <w:pPr>
        <w:rPr>
          <w:b/>
          <w:sz w:val="28"/>
          <w:szCs w:val="28"/>
          <w:u w:val="single"/>
        </w:rPr>
      </w:pPr>
      <w:r w:rsidRPr="00681978">
        <w:rPr>
          <w:b/>
          <w:sz w:val="28"/>
          <w:szCs w:val="28"/>
          <w:u w:val="single"/>
        </w:rPr>
        <w:t>Structure</w:t>
      </w:r>
      <w:r w:rsidR="007F3410">
        <w:rPr>
          <w:b/>
          <w:sz w:val="28"/>
          <w:szCs w:val="28"/>
          <w:u w:val="single"/>
        </w:rPr>
        <w:t xml:space="preserve"> and Governance</w:t>
      </w:r>
    </w:p>
    <w:p w14:paraId="6F8D8157" w14:textId="67B626BE" w:rsidR="00E569BC" w:rsidRPr="00CF4DE4" w:rsidRDefault="00CF4DE4" w:rsidP="00E5116A">
      <w:p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The finance committee shall consist of the Treasurer and at least four other Board members.  The </w:t>
      </w:r>
      <w:r w:rsidR="00681978">
        <w:rPr>
          <w:sz w:val="28"/>
          <w:szCs w:val="28"/>
        </w:rPr>
        <w:t xml:space="preserve">investment committee </w:t>
      </w:r>
      <w:r w:rsidR="00A93468">
        <w:rPr>
          <w:sz w:val="28"/>
          <w:szCs w:val="28"/>
        </w:rPr>
        <w:t>shall</w:t>
      </w:r>
      <w:r w:rsidR="00681978">
        <w:rPr>
          <w:sz w:val="28"/>
          <w:szCs w:val="28"/>
        </w:rPr>
        <w:t xml:space="preserve"> consist of the Treasurer, </w:t>
      </w:r>
      <w:r w:rsidR="00C806C7">
        <w:rPr>
          <w:sz w:val="28"/>
          <w:szCs w:val="28"/>
        </w:rPr>
        <w:t xml:space="preserve">the President, and one other board member, plus </w:t>
      </w:r>
      <w:r w:rsidR="00681978">
        <w:rPr>
          <w:sz w:val="28"/>
          <w:szCs w:val="28"/>
        </w:rPr>
        <w:t xml:space="preserve">between </w:t>
      </w:r>
      <w:r w:rsidR="002C53CD">
        <w:rPr>
          <w:sz w:val="28"/>
          <w:szCs w:val="28"/>
        </w:rPr>
        <w:t>three and five investment professionals</w:t>
      </w:r>
      <w:r>
        <w:rPr>
          <w:sz w:val="28"/>
          <w:szCs w:val="28"/>
        </w:rPr>
        <w:t xml:space="preserve"> who are not board members</w:t>
      </w:r>
      <w:r w:rsidR="002C53CD">
        <w:rPr>
          <w:sz w:val="28"/>
          <w:szCs w:val="28"/>
        </w:rPr>
        <w:t xml:space="preserve">. </w:t>
      </w:r>
    </w:p>
    <w:p w14:paraId="22A7E889" w14:textId="581D1917" w:rsidR="002C53CD" w:rsidRDefault="00E569BC" w:rsidP="00E569BC">
      <w:pPr>
        <w:ind w:firstLine="720"/>
        <w:rPr>
          <w:sz w:val="28"/>
          <w:szCs w:val="28"/>
        </w:rPr>
      </w:pPr>
      <w:r w:rsidRPr="008D14AC">
        <w:rPr>
          <w:b/>
          <w:sz w:val="28"/>
          <w:szCs w:val="28"/>
        </w:rPr>
        <w:t>Non-Board members of Committee</w:t>
      </w:r>
      <w:r w:rsidR="008D14AC" w:rsidRPr="008D14AC">
        <w:rPr>
          <w:b/>
          <w:sz w:val="28"/>
          <w:szCs w:val="28"/>
        </w:rPr>
        <w:t>.</w:t>
      </w:r>
      <w:r w:rsidR="008D14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Of the investment professionals, </w:t>
      </w:r>
      <w:r w:rsidR="007233EB">
        <w:rPr>
          <w:sz w:val="28"/>
          <w:szCs w:val="28"/>
        </w:rPr>
        <w:t xml:space="preserve">it </w:t>
      </w:r>
      <w:r w:rsidR="00CF4DE4">
        <w:rPr>
          <w:sz w:val="28"/>
          <w:szCs w:val="28"/>
        </w:rPr>
        <w:t xml:space="preserve">is </w:t>
      </w:r>
      <w:r w:rsidR="007233EB">
        <w:rPr>
          <w:sz w:val="28"/>
          <w:szCs w:val="28"/>
        </w:rPr>
        <w:t xml:space="preserve">desirable to have </w:t>
      </w:r>
      <w:r w:rsidR="008D14AC">
        <w:rPr>
          <w:sz w:val="28"/>
          <w:szCs w:val="28"/>
        </w:rPr>
        <w:t>at</w:t>
      </w:r>
      <w:r w:rsidR="00681978">
        <w:rPr>
          <w:sz w:val="28"/>
          <w:szCs w:val="28"/>
        </w:rPr>
        <w:t xml:space="preserve"> least one member </w:t>
      </w:r>
      <w:r w:rsidR="007233EB">
        <w:rPr>
          <w:sz w:val="28"/>
          <w:szCs w:val="28"/>
        </w:rPr>
        <w:t xml:space="preserve">with work experience as </w:t>
      </w:r>
      <w:r w:rsidR="00681978">
        <w:rPr>
          <w:sz w:val="28"/>
          <w:szCs w:val="28"/>
        </w:rPr>
        <w:t xml:space="preserve">an investment officer at the Alaska Department of Revenue and </w:t>
      </w:r>
      <w:r w:rsidR="008D14AC">
        <w:rPr>
          <w:sz w:val="28"/>
          <w:szCs w:val="28"/>
        </w:rPr>
        <w:t xml:space="preserve">at least one member </w:t>
      </w:r>
      <w:r w:rsidR="007233EB">
        <w:rPr>
          <w:sz w:val="28"/>
          <w:szCs w:val="28"/>
        </w:rPr>
        <w:t xml:space="preserve">who has work experience with </w:t>
      </w:r>
      <w:r w:rsidR="008D14AC">
        <w:rPr>
          <w:sz w:val="28"/>
          <w:szCs w:val="28"/>
        </w:rPr>
        <w:t xml:space="preserve">the </w:t>
      </w:r>
      <w:r w:rsidR="00681978">
        <w:rPr>
          <w:sz w:val="28"/>
          <w:szCs w:val="28"/>
        </w:rPr>
        <w:t xml:space="preserve">Alaska Permanent Fund Corporation, provided that at </w:t>
      </w:r>
      <w:r w:rsidR="00415B57">
        <w:rPr>
          <w:sz w:val="28"/>
          <w:szCs w:val="28"/>
        </w:rPr>
        <w:t>no time either organization ha</w:t>
      </w:r>
      <w:r w:rsidR="007233EB">
        <w:rPr>
          <w:sz w:val="28"/>
          <w:szCs w:val="28"/>
        </w:rPr>
        <w:t>s</w:t>
      </w:r>
      <w:r w:rsidR="00415B57">
        <w:rPr>
          <w:sz w:val="28"/>
          <w:szCs w:val="28"/>
        </w:rPr>
        <w:t xml:space="preserve"> more than two representatives on the committee. Other qualified candidates </w:t>
      </w:r>
      <w:r w:rsidR="008D14AC">
        <w:rPr>
          <w:sz w:val="28"/>
          <w:szCs w:val="28"/>
        </w:rPr>
        <w:t>may be</w:t>
      </w:r>
      <w:r w:rsidR="0041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Finance Director for the City and Borough of Juneau, or </w:t>
      </w:r>
      <w:r w:rsidR="00415B57">
        <w:rPr>
          <w:sz w:val="28"/>
          <w:szCs w:val="28"/>
        </w:rPr>
        <w:t xml:space="preserve">from the high net worth </w:t>
      </w:r>
      <w:r>
        <w:rPr>
          <w:sz w:val="28"/>
          <w:szCs w:val="28"/>
        </w:rPr>
        <w:t xml:space="preserve">or banking </w:t>
      </w:r>
      <w:r w:rsidR="00415B57">
        <w:rPr>
          <w:sz w:val="28"/>
          <w:szCs w:val="28"/>
        </w:rPr>
        <w:t>community</w:t>
      </w:r>
      <w:r w:rsidR="00681978">
        <w:rPr>
          <w:sz w:val="28"/>
          <w:szCs w:val="28"/>
        </w:rPr>
        <w:t xml:space="preserve">.  </w:t>
      </w:r>
      <w:r w:rsidR="00415B57">
        <w:rPr>
          <w:sz w:val="28"/>
          <w:szCs w:val="28"/>
        </w:rPr>
        <w:t xml:space="preserve">No candidate will be considered </w:t>
      </w:r>
      <w:r w:rsidR="00681978">
        <w:rPr>
          <w:sz w:val="28"/>
          <w:szCs w:val="28"/>
        </w:rPr>
        <w:t>who</w:t>
      </w:r>
      <w:r w:rsidR="00415B57">
        <w:rPr>
          <w:sz w:val="28"/>
          <w:szCs w:val="28"/>
        </w:rPr>
        <w:t xml:space="preserve"> do</w:t>
      </w:r>
      <w:r w:rsidR="00BF33D7">
        <w:rPr>
          <w:sz w:val="28"/>
          <w:szCs w:val="28"/>
        </w:rPr>
        <w:t>es</w:t>
      </w:r>
      <w:r w:rsidR="00415B57">
        <w:rPr>
          <w:sz w:val="28"/>
          <w:szCs w:val="28"/>
        </w:rPr>
        <w:t xml:space="preserve"> not have demonstrated professional investment experience.</w:t>
      </w:r>
    </w:p>
    <w:p w14:paraId="1E90820C" w14:textId="04A2AEDC" w:rsidR="00415B57" w:rsidRDefault="00415B57" w:rsidP="00E5116A">
      <w:pPr>
        <w:rPr>
          <w:sz w:val="28"/>
          <w:szCs w:val="28"/>
        </w:rPr>
      </w:pPr>
      <w:r>
        <w:rPr>
          <w:sz w:val="28"/>
          <w:szCs w:val="28"/>
        </w:rPr>
        <w:t xml:space="preserve">Candidates will be reviewed and recommended by the investment committee and nominees will be submitted to the board for approval. Board approved candidates will serve for a term of three years and terms will be staggered to ensure that turnover will be minimized. </w:t>
      </w:r>
    </w:p>
    <w:p w14:paraId="28D9DBA1" w14:textId="2A6C1611" w:rsidR="00415B57" w:rsidRDefault="008D14AC" w:rsidP="008D14AC">
      <w:pPr>
        <w:ind w:firstLine="720"/>
        <w:rPr>
          <w:sz w:val="28"/>
          <w:szCs w:val="28"/>
        </w:rPr>
      </w:pPr>
      <w:r w:rsidRPr="008D14AC">
        <w:rPr>
          <w:b/>
          <w:sz w:val="28"/>
          <w:szCs w:val="28"/>
        </w:rPr>
        <w:lastRenderedPageBreak/>
        <w:t>Chair of Committee</w:t>
      </w:r>
      <w:r>
        <w:rPr>
          <w:sz w:val="28"/>
          <w:szCs w:val="28"/>
        </w:rPr>
        <w:t>.  The m</w:t>
      </w:r>
      <w:r w:rsidR="00415B57">
        <w:rPr>
          <w:sz w:val="28"/>
          <w:szCs w:val="28"/>
        </w:rPr>
        <w:t>embers of the investment committee will elect the</w:t>
      </w:r>
      <w:r w:rsidR="00E569BC">
        <w:rPr>
          <w:sz w:val="28"/>
          <w:szCs w:val="28"/>
        </w:rPr>
        <w:t>ir</w:t>
      </w:r>
      <w:r w:rsidR="00415B57">
        <w:rPr>
          <w:sz w:val="28"/>
          <w:szCs w:val="28"/>
        </w:rPr>
        <w:t xml:space="preserve"> chair </w:t>
      </w:r>
      <w:r w:rsidR="00E569BC">
        <w:rPr>
          <w:sz w:val="28"/>
          <w:szCs w:val="28"/>
        </w:rPr>
        <w:t xml:space="preserve">from among the </w:t>
      </w:r>
      <w:r w:rsidR="00415B57">
        <w:rPr>
          <w:sz w:val="28"/>
          <w:szCs w:val="28"/>
        </w:rPr>
        <w:t xml:space="preserve">non-board </w:t>
      </w:r>
      <w:r w:rsidR="00E569BC">
        <w:rPr>
          <w:sz w:val="28"/>
          <w:szCs w:val="28"/>
        </w:rPr>
        <w:t xml:space="preserve">members of </w:t>
      </w:r>
      <w:r w:rsidR="00415B57">
        <w:rPr>
          <w:sz w:val="28"/>
          <w:szCs w:val="28"/>
        </w:rPr>
        <w:t>the committee</w:t>
      </w:r>
      <w:r w:rsidR="009164CC">
        <w:rPr>
          <w:sz w:val="28"/>
          <w:szCs w:val="28"/>
        </w:rPr>
        <w:t>. The c</w:t>
      </w:r>
      <w:r w:rsidR="00415B57">
        <w:rPr>
          <w:sz w:val="28"/>
          <w:szCs w:val="28"/>
        </w:rPr>
        <w:t xml:space="preserve">hair will serve for </w:t>
      </w:r>
      <w:r w:rsidR="00C41586">
        <w:rPr>
          <w:sz w:val="28"/>
          <w:szCs w:val="28"/>
        </w:rPr>
        <w:t>two</w:t>
      </w:r>
      <w:r w:rsidR="00415B57">
        <w:rPr>
          <w:sz w:val="28"/>
          <w:szCs w:val="28"/>
        </w:rPr>
        <w:t xml:space="preserve"> year</w:t>
      </w:r>
      <w:r w:rsidR="00C41586">
        <w:rPr>
          <w:sz w:val="28"/>
          <w:szCs w:val="28"/>
        </w:rPr>
        <w:t xml:space="preserve">s </w:t>
      </w:r>
      <w:r w:rsidR="00415B57">
        <w:rPr>
          <w:sz w:val="28"/>
          <w:szCs w:val="28"/>
        </w:rPr>
        <w:t xml:space="preserve">and the annual election will occur </w:t>
      </w:r>
      <w:r w:rsidR="009164CC">
        <w:rPr>
          <w:sz w:val="28"/>
          <w:szCs w:val="28"/>
        </w:rPr>
        <w:t xml:space="preserve">at the first meeting of a new calendar year. </w:t>
      </w:r>
      <w:r w:rsidR="009164CC" w:rsidRPr="007E7628">
        <w:rPr>
          <w:sz w:val="28"/>
          <w:szCs w:val="28"/>
          <w:highlight w:val="yellow"/>
        </w:rPr>
        <w:t xml:space="preserve">A chair will be limited to </w:t>
      </w:r>
      <w:r w:rsidR="00C41586">
        <w:rPr>
          <w:sz w:val="28"/>
          <w:szCs w:val="28"/>
          <w:highlight w:val="yellow"/>
        </w:rPr>
        <w:t>three</w:t>
      </w:r>
      <w:r w:rsidR="009164CC" w:rsidRPr="007E7628">
        <w:rPr>
          <w:sz w:val="28"/>
          <w:szCs w:val="28"/>
          <w:highlight w:val="yellow"/>
        </w:rPr>
        <w:t xml:space="preserve"> consecutive terms as chair</w:t>
      </w:r>
      <w:r w:rsidR="003804D9">
        <w:rPr>
          <w:sz w:val="28"/>
          <w:szCs w:val="28"/>
          <w:highlight w:val="yellow"/>
        </w:rPr>
        <w:t xml:space="preserve"> beginning in January 2021</w:t>
      </w:r>
      <w:r w:rsidR="00A93468">
        <w:rPr>
          <w:sz w:val="28"/>
          <w:szCs w:val="28"/>
          <w:highlight w:val="yellow"/>
        </w:rPr>
        <w:t>, after which he or she may serve again after a break in service of at least one year</w:t>
      </w:r>
      <w:r w:rsidR="009164CC" w:rsidRPr="007E7628">
        <w:rPr>
          <w:sz w:val="28"/>
          <w:szCs w:val="28"/>
          <w:highlight w:val="yellow"/>
        </w:rPr>
        <w:t>.</w:t>
      </w:r>
    </w:p>
    <w:p w14:paraId="41B10096" w14:textId="02D6CB22" w:rsidR="009164CC" w:rsidRPr="008D14AC" w:rsidRDefault="007E7628" w:rsidP="00E511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Rewards and Risks</w:t>
      </w:r>
    </w:p>
    <w:p w14:paraId="3E70583A" w14:textId="2F9E9286" w:rsidR="009164CC" w:rsidRDefault="009164CC" w:rsidP="00E5116A">
      <w:pPr>
        <w:rPr>
          <w:sz w:val="28"/>
          <w:szCs w:val="28"/>
        </w:rPr>
      </w:pPr>
      <w:r>
        <w:rPr>
          <w:sz w:val="28"/>
          <w:szCs w:val="28"/>
        </w:rPr>
        <w:t xml:space="preserve">This structure </w:t>
      </w:r>
      <w:r w:rsidR="00A93468">
        <w:rPr>
          <w:sz w:val="28"/>
          <w:szCs w:val="28"/>
        </w:rPr>
        <w:t xml:space="preserve">is intended to </w:t>
      </w:r>
      <w:r>
        <w:rPr>
          <w:sz w:val="28"/>
          <w:szCs w:val="28"/>
        </w:rPr>
        <w:t xml:space="preserve">ensure </w:t>
      </w:r>
      <w:r w:rsidR="00A93468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high quality investment professionals serve the investment needs of the </w:t>
      </w:r>
      <w:r w:rsidR="007E7628">
        <w:rPr>
          <w:sz w:val="28"/>
          <w:szCs w:val="28"/>
        </w:rPr>
        <w:t>Foundation</w:t>
      </w:r>
      <w:r>
        <w:rPr>
          <w:sz w:val="28"/>
          <w:szCs w:val="28"/>
        </w:rPr>
        <w:t>.</w:t>
      </w:r>
      <w:r w:rsidR="00A13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It will provide continuity of the investment philosophy when inevitable turnover occurs.</w:t>
      </w:r>
      <w:r w:rsidR="00A132F2">
        <w:rPr>
          <w:sz w:val="28"/>
          <w:szCs w:val="28"/>
        </w:rPr>
        <w:t xml:space="preserve"> </w:t>
      </w:r>
    </w:p>
    <w:p w14:paraId="76F58BD3" w14:textId="77777777" w:rsidR="009164CC" w:rsidRDefault="009164CC" w:rsidP="00E5116A">
      <w:pPr>
        <w:rPr>
          <w:sz w:val="28"/>
          <w:szCs w:val="28"/>
        </w:rPr>
      </w:pPr>
      <w:r>
        <w:rPr>
          <w:sz w:val="28"/>
          <w:szCs w:val="28"/>
        </w:rPr>
        <w:t xml:space="preserve">Not insignificantly, this approach allows the investment professionals the ability to select candidates </w:t>
      </w:r>
      <w:r w:rsidR="00E569BC">
        <w:rPr>
          <w:sz w:val="28"/>
          <w:szCs w:val="28"/>
        </w:rPr>
        <w:t xml:space="preserve">who </w:t>
      </w:r>
      <w:r>
        <w:rPr>
          <w:sz w:val="28"/>
          <w:szCs w:val="28"/>
        </w:rPr>
        <w:t>truly have expertise without giving up the board</w:t>
      </w:r>
      <w:r w:rsidR="00E569BC">
        <w:rPr>
          <w:sz w:val="28"/>
          <w:szCs w:val="28"/>
        </w:rPr>
        <w:t>’</w:t>
      </w:r>
      <w:r>
        <w:rPr>
          <w:sz w:val="28"/>
          <w:szCs w:val="28"/>
        </w:rPr>
        <w:t xml:space="preserve">s ability for final approval. </w:t>
      </w:r>
    </w:p>
    <w:p w14:paraId="450206ED" w14:textId="38853E36" w:rsidR="00A132F2" w:rsidRDefault="009164CC" w:rsidP="00E5116A">
      <w:pPr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7233EB">
        <w:rPr>
          <w:sz w:val="28"/>
          <w:szCs w:val="28"/>
        </w:rPr>
        <w:t xml:space="preserve">seeking </w:t>
      </w:r>
      <w:r>
        <w:rPr>
          <w:sz w:val="28"/>
          <w:szCs w:val="28"/>
        </w:rPr>
        <w:t xml:space="preserve">candidates </w:t>
      </w:r>
      <w:r w:rsidR="00E569BC">
        <w:rPr>
          <w:sz w:val="28"/>
          <w:szCs w:val="28"/>
        </w:rPr>
        <w:t>w</w:t>
      </w:r>
      <w:r w:rsidR="007233EB">
        <w:rPr>
          <w:sz w:val="28"/>
          <w:szCs w:val="28"/>
        </w:rPr>
        <w:t xml:space="preserve">ith </w:t>
      </w:r>
      <w:r>
        <w:rPr>
          <w:sz w:val="28"/>
          <w:szCs w:val="28"/>
        </w:rPr>
        <w:t xml:space="preserve">work </w:t>
      </w:r>
      <w:r w:rsidR="007233EB">
        <w:rPr>
          <w:sz w:val="28"/>
          <w:szCs w:val="28"/>
        </w:rPr>
        <w:t xml:space="preserve">experience </w:t>
      </w:r>
      <w:r>
        <w:rPr>
          <w:sz w:val="28"/>
          <w:szCs w:val="28"/>
        </w:rPr>
        <w:t xml:space="preserve">at the Department of Revenue and the Alaska Permanent Corporation, the board </w:t>
      </w:r>
      <w:r w:rsidR="00A93468">
        <w:rPr>
          <w:sz w:val="28"/>
          <w:szCs w:val="28"/>
        </w:rPr>
        <w:t xml:space="preserve">seeks to manage </w:t>
      </w:r>
      <w:r w:rsidR="007E7628">
        <w:rPr>
          <w:sz w:val="28"/>
          <w:szCs w:val="28"/>
        </w:rPr>
        <w:t xml:space="preserve">the Foundation’s </w:t>
      </w:r>
      <w:r w:rsidR="000871CF">
        <w:rPr>
          <w:sz w:val="28"/>
          <w:szCs w:val="28"/>
        </w:rPr>
        <w:t>assets in a professional, institutional ma</w:t>
      </w:r>
      <w:r w:rsidR="00A132F2">
        <w:rPr>
          <w:sz w:val="28"/>
          <w:szCs w:val="28"/>
        </w:rPr>
        <w:t>nner.</w:t>
      </w:r>
    </w:p>
    <w:p w14:paraId="56D43A6E" w14:textId="0C6AFF22" w:rsidR="007E7628" w:rsidRDefault="007E7628" w:rsidP="007E7628">
      <w:pPr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0871CF">
        <w:rPr>
          <w:sz w:val="28"/>
          <w:szCs w:val="28"/>
        </w:rPr>
        <w:t xml:space="preserve">system where the board </w:t>
      </w:r>
      <w:r w:rsidR="00E569BC">
        <w:rPr>
          <w:sz w:val="28"/>
          <w:szCs w:val="28"/>
        </w:rPr>
        <w:t xml:space="preserve">consists </w:t>
      </w:r>
      <w:r w:rsidR="000871CF">
        <w:rPr>
          <w:sz w:val="28"/>
          <w:szCs w:val="28"/>
        </w:rPr>
        <w:t>of non-investment professionals</w:t>
      </w:r>
      <w:r>
        <w:rPr>
          <w:sz w:val="28"/>
          <w:szCs w:val="28"/>
        </w:rPr>
        <w:t xml:space="preserve"> can create a </w:t>
      </w:r>
      <w:r w:rsidR="000871CF">
        <w:rPr>
          <w:sz w:val="28"/>
          <w:szCs w:val="28"/>
        </w:rPr>
        <w:t>risk that an investment committee does not understand the obligation of a fiduciary or does not have investment experience. Th</w:t>
      </w:r>
      <w:r>
        <w:rPr>
          <w:sz w:val="28"/>
          <w:szCs w:val="28"/>
        </w:rPr>
        <w:t xml:space="preserve">e investment committee </w:t>
      </w:r>
      <w:r w:rsidR="00A93468">
        <w:rPr>
          <w:sz w:val="28"/>
          <w:szCs w:val="28"/>
        </w:rPr>
        <w:t xml:space="preserve">established by this policy </w:t>
      </w:r>
      <w:r>
        <w:rPr>
          <w:sz w:val="28"/>
          <w:szCs w:val="28"/>
        </w:rPr>
        <w:t>a</w:t>
      </w:r>
      <w:r w:rsidR="000871CF">
        <w:rPr>
          <w:sz w:val="28"/>
          <w:szCs w:val="28"/>
        </w:rPr>
        <w:t>ttempts to mitigate the probability of that risk.</w:t>
      </w:r>
      <w:r>
        <w:rPr>
          <w:sz w:val="28"/>
          <w:szCs w:val="28"/>
        </w:rPr>
        <w:t xml:space="preserve">  Under this system, the board will maintain its fiduciary responsibility.</w:t>
      </w:r>
    </w:p>
    <w:p w14:paraId="307D4AC0" w14:textId="26D280AE" w:rsidR="000871CF" w:rsidRDefault="000871CF" w:rsidP="00E5116A">
      <w:pPr>
        <w:rPr>
          <w:sz w:val="28"/>
          <w:szCs w:val="28"/>
        </w:rPr>
      </w:pPr>
    </w:p>
    <w:p w14:paraId="51A97646" w14:textId="77777777" w:rsidR="000871CF" w:rsidRDefault="000871CF" w:rsidP="00E5116A">
      <w:pPr>
        <w:rPr>
          <w:sz w:val="28"/>
          <w:szCs w:val="28"/>
        </w:rPr>
      </w:pPr>
    </w:p>
    <w:p w14:paraId="6D2B430E" w14:textId="77777777" w:rsidR="00415B57" w:rsidRDefault="00415B57" w:rsidP="00E5116A">
      <w:pPr>
        <w:rPr>
          <w:sz w:val="28"/>
          <w:szCs w:val="28"/>
        </w:rPr>
      </w:pPr>
    </w:p>
    <w:p w14:paraId="2FB851F2" w14:textId="77777777" w:rsidR="002C53CD" w:rsidRDefault="002C53CD" w:rsidP="00E5116A">
      <w:pPr>
        <w:rPr>
          <w:sz w:val="28"/>
          <w:szCs w:val="28"/>
        </w:rPr>
      </w:pPr>
    </w:p>
    <w:p w14:paraId="4D2C6D15" w14:textId="77777777" w:rsidR="002C53CD" w:rsidRPr="00E5116A" w:rsidRDefault="002C53CD" w:rsidP="00E5116A">
      <w:pPr>
        <w:rPr>
          <w:sz w:val="28"/>
          <w:szCs w:val="28"/>
        </w:rPr>
      </w:pPr>
    </w:p>
    <w:sectPr w:rsidR="002C53CD" w:rsidRPr="00E51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E85E" w14:textId="77777777" w:rsidR="00F94DAD" w:rsidRDefault="00F94DAD" w:rsidP="007E7628">
      <w:pPr>
        <w:spacing w:after="0" w:line="240" w:lineRule="auto"/>
      </w:pPr>
      <w:r>
        <w:separator/>
      </w:r>
    </w:p>
  </w:endnote>
  <w:endnote w:type="continuationSeparator" w:id="0">
    <w:p w14:paraId="59477441" w14:textId="77777777" w:rsidR="00F94DAD" w:rsidRDefault="00F94DAD" w:rsidP="007E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1188534"/>
      <w:docPartObj>
        <w:docPartGallery w:val="Page Numbers (Bottom of Page)"/>
        <w:docPartUnique/>
      </w:docPartObj>
    </w:sdtPr>
    <w:sdtContent>
      <w:p w14:paraId="7382F10C" w14:textId="4D6D07BC" w:rsidR="00624062" w:rsidRDefault="00624062" w:rsidP="00355C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23D722" w14:textId="77777777" w:rsidR="00A93468" w:rsidRDefault="00A93468" w:rsidP="006240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78507349"/>
      <w:docPartObj>
        <w:docPartGallery w:val="Page Numbers (Bottom of Page)"/>
        <w:docPartUnique/>
      </w:docPartObj>
    </w:sdtPr>
    <w:sdtContent>
      <w:p w14:paraId="685E0783" w14:textId="36001A49" w:rsidR="00624062" w:rsidRDefault="00624062" w:rsidP="00355C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684483" w14:textId="433B36C3" w:rsidR="00A93468" w:rsidRDefault="00A93468" w:rsidP="00624062">
    <w:pPr>
      <w:pStyle w:val="Footer"/>
      <w:ind w:right="360"/>
    </w:pPr>
  </w:p>
  <w:p w14:paraId="6C1108C0" w14:textId="77777777" w:rsidR="00A93468" w:rsidRDefault="00A93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34F4" w14:textId="77777777" w:rsidR="00A93468" w:rsidRDefault="00A9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93A80" w14:textId="77777777" w:rsidR="00F94DAD" w:rsidRDefault="00F94DAD" w:rsidP="007E7628">
      <w:pPr>
        <w:spacing w:after="0" w:line="240" w:lineRule="auto"/>
      </w:pPr>
      <w:r>
        <w:separator/>
      </w:r>
    </w:p>
  </w:footnote>
  <w:footnote w:type="continuationSeparator" w:id="0">
    <w:p w14:paraId="1B01FF75" w14:textId="77777777" w:rsidR="00F94DAD" w:rsidRDefault="00F94DAD" w:rsidP="007E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0713" w14:textId="77777777" w:rsidR="00A93468" w:rsidRDefault="00A9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43D4" w14:textId="77777777" w:rsidR="00624062" w:rsidRDefault="00624062" w:rsidP="000825E6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Policy Committee Draft for November 2020 Board approval   </w:t>
    </w:r>
  </w:p>
  <w:p w14:paraId="0D4C9824" w14:textId="22544477" w:rsidR="00DC7D5E" w:rsidRDefault="00DC7D5E" w:rsidP="000825E6">
    <w:pPr>
      <w:pStyle w:val="Header"/>
      <w:jc w:val="right"/>
    </w:pPr>
    <w:r>
      <w:t>Approved by Board</w:t>
    </w:r>
  </w:p>
  <w:p w14:paraId="163C5C42" w14:textId="175404E6" w:rsidR="007E7628" w:rsidRDefault="00A93468" w:rsidP="000825E6">
    <w:pPr>
      <w:pStyle w:val="Header"/>
      <w:jc w:val="right"/>
    </w:pPr>
    <w:r>
      <w:t xml:space="preserve"> </w:t>
    </w:r>
    <w:r w:rsidR="000825E6">
      <w:t xml:space="preserve">January 2018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099E" w14:textId="77777777" w:rsidR="00A93468" w:rsidRDefault="00A93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6A"/>
    <w:rsid w:val="000764CD"/>
    <w:rsid w:val="000825E6"/>
    <w:rsid w:val="000871CF"/>
    <w:rsid w:val="002B4E14"/>
    <w:rsid w:val="002C53CD"/>
    <w:rsid w:val="002F4604"/>
    <w:rsid w:val="003727B8"/>
    <w:rsid w:val="003804D9"/>
    <w:rsid w:val="003B062C"/>
    <w:rsid w:val="003F1675"/>
    <w:rsid w:val="00415B57"/>
    <w:rsid w:val="00447FDA"/>
    <w:rsid w:val="00624062"/>
    <w:rsid w:val="00676E6D"/>
    <w:rsid w:val="00681978"/>
    <w:rsid w:val="006E0D95"/>
    <w:rsid w:val="007233EB"/>
    <w:rsid w:val="00743A23"/>
    <w:rsid w:val="00796C2A"/>
    <w:rsid w:val="007E7628"/>
    <w:rsid w:val="007F3410"/>
    <w:rsid w:val="0082536E"/>
    <w:rsid w:val="008D14AC"/>
    <w:rsid w:val="0090109A"/>
    <w:rsid w:val="009164CC"/>
    <w:rsid w:val="00A132F2"/>
    <w:rsid w:val="00A605B8"/>
    <w:rsid w:val="00A93468"/>
    <w:rsid w:val="00BF33D7"/>
    <w:rsid w:val="00BF400E"/>
    <w:rsid w:val="00C41586"/>
    <w:rsid w:val="00C72588"/>
    <w:rsid w:val="00C806C7"/>
    <w:rsid w:val="00CF4DE4"/>
    <w:rsid w:val="00DC7D5E"/>
    <w:rsid w:val="00E00D4B"/>
    <w:rsid w:val="00E30AFA"/>
    <w:rsid w:val="00E5116A"/>
    <w:rsid w:val="00E569BC"/>
    <w:rsid w:val="00F94DAD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2EB6"/>
  <w15:chartTrackingRefBased/>
  <w15:docId w15:val="{2B0109A4-3B22-422A-ACEF-DB9F272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28"/>
  </w:style>
  <w:style w:type="paragraph" w:styleId="Footer">
    <w:name w:val="footer"/>
    <w:basedOn w:val="Normal"/>
    <w:link w:val="FooterChar"/>
    <w:uiPriority w:val="99"/>
    <w:unhideWhenUsed/>
    <w:rsid w:val="007E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28"/>
  </w:style>
  <w:style w:type="character" w:styleId="PageNumber">
    <w:name w:val="page number"/>
    <w:basedOn w:val="DefaultParagraphFont"/>
    <w:uiPriority w:val="99"/>
    <w:semiHidden/>
    <w:unhideWhenUsed/>
    <w:rsid w:val="0062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Storer</dc:creator>
  <cp:keywords/>
  <dc:description/>
  <cp:lastModifiedBy>Amy Skillbred</cp:lastModifiedBy>
  <cp:revision>2</cp:revision>
  <cp:lastPrinted>2017-12-20T00:25:00Z</cp:lastPrinted>
  <dcterms:created xsi:type="dcterms:W3CDTF">2020-10-14T23:07:00Z</dcterms:created>
  <dcterms:modified xsi:type="dcterms:W3CDTF">2020-10-14T23:07:00Z</dcterms:modified>
</cp:coreProperties>
</file>